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2453" w14:textId="020B55FC" w:rsidR="00A87195" w:rsidRDefault="00E31275" w:rsidP="00332456">
      <w:pPr>
        <w:ind w:right="72"/>
      </w:pPr>
      <w:r w:rsidRPr="00B9024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7DFBD" wp14:editId="07EE567E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4629150" cy="600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00075"/>
                        </a:xfrm>
                        <a:prstGeom prst="rect">
                          <a:avLst/>
                        </a:prstGeom>
                        <a:solidFill>
                          <a:srgbClr val="0B72B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7FC7" w14:textId="38942BEA" w:rsidR="000A0CEE" w:rsidRPr="000A0CEE" w:rsidRDefault="00704C80" w:rsidP="000A0CE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  <w:t>DIW Pump Station CAS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9F12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Hollywood</w:t>
                            </w:r>
                            <w:r w:rsidR="000A0CE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Florida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7D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14.85pt;width:364.5pt;height:4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" fillcolor="#0b72ba" stroked="f">
                <v:textbox>
                  <w:txbxContent>
                    <w:p w14:paraId="5FDA7FC7" w14:textId="38942BEA" w:rsidR="000A0CEE" w:rsidRPr="000A0CEE" w:rsidRDefault="00704C80" w:rsidP="000A0CEE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  <w:t>DIW Pump Station CAS</w:t>
                      </w:r>
                      <w:r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9F12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Hollywood</w:t>
                      </w:r>
                      <w:r w:rsidR="000A0CE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Florida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D5A18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>Client</w:t>
      </w:r>
    </w:p>
    <w:p w14:paraId="410631AC" w14:textId="38E03A84" w:rsid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 xml:space="preserve">City of </w:t>
      </w:r>
      <w:r w:rsidR="00704C80">
        <w:rPr>
          <w:rFonts w:cs="Arial"/>
          <w:color w:val="0B72BA"/>
          <w:sz w:val="18"/>
          <w:szCs w:val="18"/>
        </w:rPr>
        <w:t>Hollywood</w:t>
      </w:r>
    </w:p>
    <w:p w14:paraId="3724D9C9" w14:textId="77777777" w:rsidR="00537649" w:rsidRDefault="00704C80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MBC Sub-Consultant to</w:t>
      </w:r>
    </w:p>
    <w:p w14:paraId="4B6828E6" w14:textId="32FD369C" w:rsidR="00704C80" w:rsidRPr="00BD119B" w:rsidRDefault="00704C80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Brown and Caldwell</w:t>
      </w:r>
    </w:p>
    <w:p w14:paraId="25AC5CFE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</w:p>
    <w:p w14:paraId="60783704" w14:textId="77777777" w:rsidR="00BD119B" w:rsidRPr="00537649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537649">
        <w:rPr>
          <w:rFonts w:ascii="Arial" w:hAnsi="Arial" w:cs="Arial"/>
          <w:b/>
          <w:color w:val="0B72BA"/>
          <w:sz w:val="16"/>
          <w:szCs w:val="16"/>
        </w:rPr>
        <w:t>Scope of Services</w:t>
      </w:r>
    </w:p>
    <w:p w14:paraId="6F803754" w14:textId="3C2E5A8C" w:rsidR="009565A8" w:rsidRPr="00537649" w:rsidRDefault="00537649" w:rsidP="00BD119B">
      <w:pPr>
        <w:pStyle w:val="ListItemTeal"/>
        <w:framePr w:w="2296" w:h="10741" w:hRule="exact" w:wrap="around" w:x="1291" w:y="2296"/>
        <w:ind w:left="0" w:firstLine="0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SRF Compliance Services during the Construction Phase: logging, reviewing, and evaluating a variety of information for SRF compliance</w:t>
      </w:r>
    </w:p>
    <w:p w14:paraId="24D78B47" w14:textId="77777777" w:rsidR="00BD119B" w:rsidRPr="00290FF4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  <w:highlight w:val="yellow"/>
        </w:rPr>
      </w:pPr>
    </w:p>
    <w:p w14:paraId="7C06DCB6" w14:textId="77777777" w:rsidR="00BD119B" w:rsidRPr="00537649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537649">
        <w:rPr>
          <w:rFonts w:ascii="Arial" w:hAnsi="Arial" w:cs="Arial"/>
          <w:b/>
          <w:color w:val="0B72BA"/>
          <w:sz w:val="16"/>
          <w:szCs w:val="16"/>
        </w:rPr>
        <w:t>Contact</w:t>
      </w:r>
    </w:p>
    <w:p w14:paraId="2E4E1B9E" w14:textId="77EFC26C" w:rsidR="00BD119B" w:rsidRPr="00537649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 xml:space="preserve">Mr. </w:t>
      </w:r>
      <w:r w:rsidR="00537649" w:rsidRPr="00537649">
        <w:rPr>
          <w:rFonts w:cs="Arial"/>
          <w:color w:val="0B72BA"/>
          <w:sz w:val="18"/>
          <w:szCs w:val="18"/>
        </w:rPr>
        <w:t>Mark Haber</w:t>
      </w:r>
    </w:p>
    <w:p w14:paraId="05864CA7" w14:textId="1B1B6FDA" w:rsidR="00BD119B" w:rsidRPr="00537649" w:rsidRDefault="00537649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Brown and Caldwell</w:t>
      </w:r>
    </w:p>
    <w:p w14:paraId="17967784" w14:textId="77777777" w:rsidR="00537649" w:rsidRPr="00537649" w:rsidRDefault="00537649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1580 Sawgrass Corporate</w:t>
      </w:r>
    </w:p>
    <w:p w14:paraId="48AC954C" w14:textId="77777777" w:rsidR="00537649" w:rsidRPr="00537649" w:rsidRDefault="00537649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Pkwy, Suite 400, Sunrise FL</w:t>
      </w:r>
    </w:p>
    <w:p w14:paraId="0C374464" w14:textId="2E9FEF50" w:rsidR="00BD119B" w:rsidRPr="00537649" w:rsidRDefault="00537649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33323</w:t>
      </w:r>
    </w:p>
    <w:p w14:paraId="25CC2ADA" w14:textId="33E277DF" w:rsidR="00537649" w:rsidRPr="00537649" w:rsidRDefault="00537649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561.515.6249</w:t>
      </w:r>
    </w:p>
    <w:p w14:paraId="09632375" w14:textId="1BC3C911" w:rsidR="00BD119B" w:rsidRPr="00537649" w:rsidRDefault="00537649" w:rsidP="00537649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mharber@brwncald.com</w:t>
      </w:r>
    </w:p>
    <w:p w14:paraId="3B53F095" w14:textId="77777777" w:rsidR="00BD119B" w:rsidRPr="00537649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1E415CFF" w14:textId="77777777" w:rsidR="00BD119B" w:rsidRPr="00537649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537649">
        <w:rPr>
          <w:rFonts w:ascii="Arial" w:hAnsi="Arial" w:cs="Arial"/>
          <w:b/>
          <w:color w:val="0B72BA"/>
          <w:sz w:val="16"/>
          <w:szCs w:val="16"/>
        </w:rPr>
        <w:t>Start Date</w:t>
      </w:r>
    </w:p>
    <w:p w14:paraId="4C996672" w14:textId="6EA53B51" w:rsidR="00BD119B" w:rsidRPr="00537649" w:rsidRDefault="00FD7B4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0</w:t>
      </w:r>
      <w:r w:rsidR="00A956A7">
        <w:rPr>
          <w:rFonts w:cs="Arial"/>
          <w:color w:val="0B72BA"/>
          <w:sz w:val="18"/>
          <w:szCs w:val="18"/>
        </w:rPr>
        <w:t>1</w:t>
      </w:r>
      <w:r w:rsidRPr="00537649">
        <w:rPr>
          <w:rFonts w:cs="Arial"/>
          <w:color w:val="0B72BA"/>
          <w:sz w:val="18"/>
          <w:szCs w:val="18"/>
        </w:rPr>
        <w:t>/202</w:t>
      </w:r>
      <w:r w:rsidR="00A956A7">
        <w:rPr>
          <w:rFonts w:cs="Arial"/>
          <w:color w:val="0B72BA"/>
          <w:sz w:val="18"/>
          <w:szCs w:val="18"/>
        </w:rPr>
        <w:t>3</w:t>
      </w:r>
    </w:p>
    <w:p w14:paraId="33FC0C04" w14:textId="77777777" w:rsidR="00BD119B" w:rsidRPr="00537649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6765BECE" w14:textId="77777777" w:rsidR="00BD119B" w:rsidRPr="00537649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537649">
        <w:rPr>
          <w:rFonts w:ascii="Arial" w:hAnsi="Arial" w:cs="Arial"/>
          <w:b/>
          <w:color w:val="0B72BA"/>
          <w:sz w:val="16"/>
          <w:szCs w:val="16"/>
        </w:rPr>
        <w:t>Completion Date</w:t>
      </w:r>
    </w:p>
    <w:p w14:paraId="4555DE5F" w14:textId="344D0BB2" w:rsidR="00BD119B" w:rsidRPr="00537649" w:rsidRDefault="00597AD4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0</w:t>
      </w:r>
      <w:r w:rsidR="00505655" w:rsidRPr="00537649">
        <w:rPr>
          <w:rFonts w:cs="Arial"/>
          <w:color w:val="0B72BA"/>
          <w:sz w:val="18"/>
          <w:szCs w:val="18"/>
        </w:rPr>
        <w:t>2</w:t>
      </w:r>
      <w:r w:rsidR="0057393A" w:rsidRPr="00537649">
        <w:rPr>
          <w:rFonts w:cs="Arial"/>
          <w:color w:val="0B72BA"/>
          <w:sz w:val="18"/>
          <w:szCs w:val="18"/>
        </w:rPr>
        <w:t>/20</w:t>
      </w:r>
      <w:r w:rsidR="00FD4EDB" w:rsidRPr="00537649">
        <w:rPr>
          <w:rFonts w:cs="Arial"/>
          <w:color w:val="0B72BA"/>
          <w:sz w:val="18"/>
          <w:szCs w:val="18"/>
        </w:rPr>
        <w:t>2</w:t>
      </w:r>
      <w:r w:rsidR="00537649" w:rsidRPr="00537649">
        <w:rPr>
          <w:rFonts w:cs="Arial"/>
          <w:color w:val="0B72BA"/>
          <w:sz w:val="18"/>
          <w:szCs w:val="18"/>
        </w:rPr>
        <w:t>5</w:t>
      </w:r>
      <w:r w:rsidR="0057393A" w:rsidRPr="00537649">
        <w:rPr>
          <w:rFonts w:cs="Arial"/>
          <w:color w:val="0B72BA"/>
          <w:sz w:val="18"/>
          <w:szCs w:val="18"/>
        </w:rPr>
        <w:t xml:space="preserve"> (est.)</w:t>
      </w:r>
    </w:p>
    <w:p w14:paraId="0A40ADD1" w14:textId="77777777" w:rsidR="00BD119B" w:rsidRPr="00537649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2D55F476" w14:textId="77777777" w:rsidR="00BD119B" w:rsidRPr="00537649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537649">
        <w:rPr>
          <w:rFonts w:ascii="Arial" w:hAnsi="Arial" w:cs="Arial"/>
          <w:b/>
          <w:color w:val="0B72BA"/>
          <w:sz w:val="16"/>
          <w:szCs w:val="16"/>
        </w:rPr>
        <w:t xml:space="preserve">Construction Cost </w:t>
      </w:r>
    </w:p>
    <w:p w14:paraId="5590225D" w14:textId="37E03CA7" w:rsidR="00BD119B" w:rsidRPr="00BD119B" w:rsidRDefault="00505655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537649">
        <w:rPr>
          <w:rFonts w:cs="Arial"/>
          <w:color w:val="0B72BA"/>
          <w:sz w:val="18"/>
          <w:szCs w:val="18"/>
        </w:rPr>
        <w:t>$</w:t>
      </w:r>
      <w:r w:rsidR="00537649" w:rsidRPr="00537649">
        <w:rPr>
          <w:rFonts w:cs="Arial"/>
          <w:color w:val="0B72BA"/>
          <w:sz w:val="18"/>
          <w:szCs w:val="18"/>
        </w:rPr>
        <w:t>80,000,000</w:t>
      </w:r>
    </w:p>
    <w:p w14:paraId="15833F47" w14:textId="77777777" w:rsidR="00BD119B" w:rsidRPr="00BD119B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671F3313" w14:textId="77777777" w:rsidR="00BD119B" w:rsidRPr="006A6348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6A6348">
        <w:rPr>
          <w:rFonts w:ascii="Arial" w:hAnsi="Arial" w:cs="Arial"/>
          <w:b/>
          <w:color w:val="0B72BA"/>
          <w:sz w:val="16"/>
          <w:szCs w:val="16"/>
        </w:rPr>
        <w:t>Key MBC Staff</w:t>
      </w:r>
    </w:p>
    <w:p w14:paraId="32F74728" w14:textId="67296014" w:rsid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6A6348">
        <w:rPr>
          <w:rFonts w:cs="Arial"/>
          <w:color w:val="0B72BA"/>
          <w:sz w:val="18"/>
          <w:szCs w:val="18"/>
        </w:rPr>
        <w:t>Frank A. Brinson, P.E.</w:t>
      </w:r>
    </w:p>
    <w:p w14:paraId="5371888C" w14:textId="4F8CCC77" w:rsidR="00BD119B" w:rsidRDefault="00FD4EDB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 xml:space="preserve">Andrew Barba, </w:t>
      </w:r>
      <w:r w:rsidR="00505655">
        <w:rPr>
          <w:rFonts w:cs="Arial"/>
          <w:color w:val="0B72BA"/>
          <w:sz w:val="18"/>
          <w:szCs w:val="18"/>
        </w:rPr>
        <w:t>P.E.</w:t>
      </w:r>
    </w:p>
    <w:p w14:paraId="678CCAFE" w14:textId="1BAD05FC" w:rsidR="00505655" w:rsidRDefault="00505655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Mathew Marsh, P.M.P.</w:t>
      </w:r>
    </w:p>
    <w:p w14:paraId="69B38878" w14:textId="63A8BFA6" w:rsidR="00505655" w:rsidRDefault="00505655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Audra McCafferty, P.E.</w:t>
      </w:r>
    </w:p>
    <w:p w14:paraId="5BCD2AC7" w14:textId="77777777" w:rsidR="00505655" w:rsidRPr="00BD119B" w:rsidRDefault="00505655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</w:p>
    <w:p w14:paraId="4590337B" w14:textId="77777777" w:rsid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842ADF">
        <w:rPr>
          <w:rFonts w:ascii="Arial" w:hAnsi="Arial" w:cs="Arial"/>
          <w:b/>
          <w:color w:val="0B72BA"/>
          <w:sz w:val="16"/>
          <w:szCs w:val="16"/>
        </w:rPr>
        <w:t>Key Features</w:t>
      </w:r>
    </w:p>
    <w:p w14:paraId="6B809931" w14:textId="7A739242" w:rsidR="00FD7B4B" w:rsidRPr="00FD7B4B" w:rsidRDefault="00107F19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Cs/>
          <w:color w:val="0B72BA"/>
          <w:sz w:val="16"/>
          <w:szCs w:val="16"/>
        </w:rPr>
      </w:pPr>
      <w:r>
        <w:rPr>
          <w:rFonts w:ascii="Arial" w:hAnsi="Arial" w:cs="Arial"/>
          <w:bCs/>
          <w:color w:val="0B72BA"/>
          <w:sz w:val="16"/>
          <w:szCs w:val="16"/>
        </w:rPr>
        <w:t xml:space="preserve">Construction Phase </w:t>
      </w:r>
      <w:r w:rsidR="00C83446">
        <w:rPr>
          <w:rFonts w:ascii="Arial" w:hAnsi="Arial" w:cs="Arial"/>
          <w:bCs/>
          <w:color w:val="0B72BA"/>
          <w:sz w:val="16"/>
          <w:szCs w:val="16"/>
        </w:rPr>
        <w:t xml:space="preserve">SRF </w:t>
      </w:r>
      <w:r>
        <w:rPr>
          <w:rFonts w:ascii="Arial" w:hAnsi="Arial" w:cs="Arial"/>
          <w:bCs/>
          <w:color w:val="0B72BA"/>
          <w:sz w:val="16"/>
          <w:szCs w:val="16"/>
        </w:rPr>
        <w:t>Capital Funding Administrative and Compliance Assistance Services for the Project</w:t>
      </w:r>
      <w:r w:rsidR="00C83446">
        <w:rPr>
          <w:rFonts w:ascii="Arial" w:hAnsi="Arial" w:cs="Arial"/>
          <w:bCs/>
          <w:color w:val="0B72BA"/>
          <w:sz w:val="16"/>
          <w:szCs w:val="16"/>
        </w:rPr>
        <w:t xml:space="preserve"> </w:t>
      </w:r>
    </w:p>
    <w:p w14:paraId="1BFF753B" w14:textId="1CB5B5C7" w:rsidR="00B03CBC" w:rsidRPr="00842ADF" w:rsidRDefault="00B03CBC" w:rsidP="00B90243">
      <w:pPr>
        <w:spacing w:after="280" w:line="280" w:lineRule="exact"/>
        <w:rPr>
          <w:rFonts w:ascii="Times New Roman" w:hAnsi="Times New Roman"/>
          <w:b/>
          <w:noProof/>
          <w:color w:val="FF0000"/>
          <w:szCs w:val="24"/>
        </w:rPr>
      </w:pPr>
    </w:p>
    <w:p w14:paraId="466795B5" w14:textId="77777777" w:rsidR="00BB0DEB" w:rsidRDefault="00BB0DEB" w:rsidP="00A04756">
      <w:pPr>
        <w:spacing w:before="100" w:beforeAutospacing="1" w:after="100" w:afterAutospacing="1" w:line="276" w:lineRule="auto"/>
        <w:rPr>
          <w:rFonts w:ascii="Arial" w:hAnsi="Arial" w:cs="Arial"/>
          <w:snapToGrid/>
          <w:color w:val="0B72BB"/>
          <w:sz w:val="28"/>
          <w:szCs w:val="28"/>
        </w:rPr>
      </w:pPr>
    </w:p>
    <w:p w14:paraId="1B14DD67" w14:textId="24FAD91B" w:rsidR="009B0274" w:rsidRDefault="000A0CEE" w:rsidP="00E31275">
      <w:pPr>
        <w:spacing w:before="100" w:beforeAutospacing="1" w:after="100" w:afterAutospacing="1" w:line="276" w:lineRule="auto"/>
        <w:jc w:val="both"/>
        <w:rPr>
          <w:rFonts w:ascii="Arial" w:hAnsi="Arial" w:cs="Arial"/>
          <w:snapToGrid/>
          <w:color w:val="0B72BB"/>
          <w:sz w:val="28"/>
          <w:szCs w:val="28"/>
        </w:rPr>
      </w:pPr>
      <w:r w:rsidRPr="000A0CEE">
        <w:rPr>
          <w:rFonts w:ascii="Arial" w:hAnsi="Arial" w:cs="Arial"/>
          <w:snapToGrid/>
          <w:color w:val="0B72BB"/>
          <w:sz w:val="28"/>
          <w:szCs w:val="28"/>
        </w:rPr>
        <w:t>Background</w:t>
      </w:r>
    </w:p>
    <w:p w14:paraId="5BE65E63" w14:textId="323532E4" w:rsidR="00107F19" w:rsidRPr="00107F19" w:rsidRDefault="00107F19" w:rsidP="00E31275">
      <w:pPr>
        <w:widowControl/>
        <w:autoSpaceDE w:val="0"/>
        <w:autoSpaceDN w:val="0"/>
        <w:adjustRightInd w:val="0"/>
        <w:jc w:val="both"/>
        <w:rPr>
          <w:rFonts w:ascii="Garamond" w:hAnsi="Garamond" w:cs="TimesNewRomanPSMT"/>
          <w:snapToGrid/>
          <w:sz w:val="22"/>
          <w:szCs w:val="22"/>
        </w:rPr>
      </w:pPr>
      <w:r w:rsidRPr="00107F19">
        <w:rPr>
          <w:rFonts w:ascii="Garamond" w:hAnsi="Garamond" w:cs="TimesNewRomanPSMT"/>
          <w:snapToGrid/>
          <w:sz w:val="22"/>
          <w:szCs w:val="22"/>
        </w:rPr>
        <w:t>Brown and Caldwell requested a scope and budget estimate from McCafferty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107F19">
        <w:rPr>
          <w:rFonts w:ascii="Garamond" w:hAnsi="Garamond" w:cs="TimesNewRomanPSMT"/>
          <w:snapToGrid/>
          <w:sz w:val="22"/>
          <w:szCs w:val="22"/>
        </w:rPr>
        <w:t>Brinson Consulting, LLC on January 30, 2023, to provide Construction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107F19">
        <w:rPr>
          <w:rFonts w:ascii="Garamond" w:hAnsi="Garamond" w:cs="TimesNewRomanPSMT"/>
          <w:snapToGrid/>
          <w:sz w:val="22"/>
          <w:szCs w:val="22"/>
        </w:rPr>
        <w:t>Phase SRF Capital Funding Administrative and Compliance Assistance Services for the City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107F19">
        <w:rPr>
          <w:rFonts w:ascii="Garamond" w:hAnsi="Garamond" w:cs="TimesNewRomanPSMT"/>
          <w:snapToGrid/>
          <w:sz w:val="22"/>
          <w:szCs w:val="22"/>
        </w:rPr>
        <w:t>of Hollywood’s Deep Injection Wells No. 3 and No. 4 Pump Station Project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. </w:t>
      </w:r>
      <w:r w:rsidRPr="00107F19">
        <w:rPr>
          <w:rFonts w:ascii="Garamond" w:hAnsi="Garamond" w:cs="TimesNewRomanPSMT"/>
          <w:snapToGrid/>
          <w:sz w:val="22"/>
          <w:szCs w:val="22"/>
        </w:rPr>
        <w:t>There are two SRF programs administered by the Florida Department of Environmental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107F19">
        <w:rPr>
          <w:rFonts w:ascii="Garamond" w:hAnsi="Garamond" w:cs="TimesNewRomanPSMT"/>
          <w:snapToGrid/>
          <w:sz w:val="22"/>
          <w:szCs w:val="22"/>
        </w:rPr>
        <w:t>Protection (FDEP): The Clean Water State Revolving Fund (CWSRF) created under the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107F19">
        <w:rPr>
          <w:rFonts w:ascii="Garamond" w:hAnsi="Garamond" w:cs="TimesNewRomanPSMT"/>
          <w:snapToGrid/>
          <w:sz w:val="22"/>
          <w:szCs w:val="22"/>
        </w:rPr>
        <w:t>Clean Water Act, and the Drinking Water State Revolving Fund (DWSRF) created under the</w:t>
      </w:r>
      <w:r w:rsidR="00A956A7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107F19">
        <w:rPr>
          <w:rFonts w:ascii="Garamond" w:hAnsi="Garamond" w:cs="TimesNewRomanPSMT"/>
          <w:snapToGrid/>
          <w:sz w:val="22"/>
          <w:szCs w:val="22"/>
        </w:rPr>
        <w:t xml:space="preserve">Safe Drinking Water Act. For this Project, the Client has </w:t>
      </w:r>
      <w:r w:rsidR="00A956A7" w:rsidRPr="00107F19">
        <w:rPr>
          <w:rFonts w:ascii="Garamond" w:hAnsi="Garamond" w:cs="TimesNewRomanPSMT"/>
          <w:snapToGrid/>
          <w:sz w:val="22"/>
          <w:szCs w:val="22"/>
        </w:rPr>
        <w:t>entered into</w:t>
      </w:r>
      <w:r w:rsidRPr="00107F19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="00A956A7">
        <w:rPr>
          <w:rFonts w:ascii="Garamond" w:hAnsi="Garamond" w:cs="TimesNewRomanPSMT"/>
          <w:snapToGrid/>
          <w:sz w:val="22"/>
          <w:szCs w:val="22"/>
        </w:rPr>
        <w:t>loan agreements under CWSRF and DWSRF programs.</w:t>
      </w:r>
    </w:p>
    <w:p w14:paraId="30D60DA5" w14:textId="77777777" w:rsidR="00107F19" w:rsidRDefault="00107F19" w:rsidP="00E31275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napToGrid/>
          <w:sz w:val="22"/>
          <w:szCs w:val="22"/>
        </w:rPr>
      </w:pPr>
    </w:p>
    <w:p w14:paraId="2F3A4ABC" w14:textId="5EB069C2" w:rsidR="00B90243" w:rsidRDefault="00B90243" w:rsidP="00E31275">
      <w:pPr>
        <w:widowControl/>
        <w:autoSpaceDE w:val="0"/>
        <w:autoSpaceDN w:val="0"/>
        <w:adjustRightInd w:val="0"/>
        <w:jc w:val="both"/>
        <w:rPr>
          <w:rFonts w:ascii="Arial" w:hAnsi="Arial" w:cs="Arial"/>
          <w:noProof/>
          <w:color w:val="0B72BA"/>
          <w:sz w:val="28"/>
        </w:rPr>
      </w:pPr>
      <w:r w:rsidRPr="00107F19">
        <w:rPr>
          <w:rFonts w:ascii="Arial" w:hAnsi="Arial" w:cs="Arial"/>
          <w:noProof/>
          <w:color w:val="0B72BA"/>
          <w:sz w:val="28"/>
        </w:rPr>
        <w:t>The Project</w:t>
      </w:r>
    </w:p>
    <w:p w14:paraId="68AB1B9B" w14:textId="77777777" w:rsidR="00107F19" w:rsidRPr="00107F19" w:rsidRDefault="00107F19" w:rsidP="00E31275">
      <w:pPr>
        <w:widowControl/>
        <w:autoSpaceDE w:val="0"/>
        <w:autoSpaceDN w:val="0"/>
        <w:adjustRightInd w:val="0"/>
        <w:jc w:val="both"/>
        <w:rPr>
          <w:rFonts w:ascii="Arial" w:hAnsi="Arial" w:cs="Arial"/>
          <w:snapToGrid/>
          <w:sz w:val="22"/>
          <w:szCs w:val="22"/>
        </w:rPr>
      </w:pPr>
    </w:p>
    <w:p w14:paraId="1A0CA7D0" w14:textId="4B20556C" w:rsidR="00A63BDE" w:rsidRDefault="00A63BDE" w:rsidP="00E31275">
      <w:pPr>
        <w:widowControl/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>
        <w:rPr>
          <w:rFonts w:ascii="Garamond" w:hAnsi="Garamond" w:cs="TimesNewRomanPS-BoldMT"/>
          <w:snapToGrid/>
          <w:sz w:val="22"/>
          <w:szCs w:val="22"/>
        </w:rPr>
        <w:t>The s</w:t>
      </w:r>
      <w:r w:rsidRPr="00A63BDE">
        <w:rPr>
          <w:rFonts w:ascii="Garamond" w:hAnsi="Garamond" w:cs="TimesNewRomanPS-BoldMT"/>
          <w:snapToGrid/>
          <w:sz w:val="22"/>
          <w:szCs w:val="22"/>
        </w:rPr>
        <w:t>cope of</w:t>
      </w:r>
      <w:r>
        <w:rPr>
          <w:rFonts w:ascii="Garamond" w:hAnsi="Garamond" w:cs="TimesNewRomanPS-BoldMT"/>
          <w:snapToGrid/>
          <w:sz w:val="22"/>
          <w:szCs w:val="22"/>
        </w:rPr>
        <w:t xml:space="preserve"> services includes:</w:t>
      </w:r>
    </w:p>
    <w:p w14:paraId="1A5C88DA" w14:textId="77777777" w:rsidR="00A63BDE" w:rsidRDefault="00A63BDE" w:rsidP="00E31275">
      <w:pPr>
        <w:widowControl/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</w:p>
    <w:p w14:paraId="55080988" w14:textId="77777777" w:rsidR="00704C80" w:rsidRDefault="00A63BDE" w:rsidP="00E31275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SRF Compliance Monitoring</w:t>
      </w:r>
    </w:p>
    <w:p w14:paraId="71A0F13E" w14:textId="30627C80" w:rsidR="00A63BDE" w:rsidRPr="00704C80" w:rsidRDefault="00A63BDE" w:rsidP="00E31275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704C80">
        <w:rPr>
          <w:rFonts w:ascii="Garamond" w:hAnsi="Garamond" w:cs="TimesNewRomanPS-BoldMT"/>
          <w:snapToGrid/>
          <w:sz w:val="22"/>
          <w:szCs w:val="22"/>
        </w:rPr>
        <w:t xml:space="preserve">Review of Project Records </w:t>
      </w:r>
    </w:p>
    <w:p w14:paraId="523BAC3F" w14:textId="08395254" w:rsidR="00C83446" w:rsidRDefault="00A63BDE" w:rsidP="00E31275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AIS Certification Submittal</w:t>
      </w:r>
      <w:r w:rsidR="00704C80">
        <w:rPr>
          <w:rFonts w:ascii="Garamond" w:hAnsi="Garamond" w:cs="TimesNewRomanPS-BoldMT"/>
          <w:snapToGrid/>
          <w:sz w:val="22"/>
          <w:szCs w:val="22"/>
        </w:rPr>
        <w:t>s</w:t>
      </w:r>
    </w:p>
    <w:p w14:paraId="19EAB2EE" w14:textId="069D26E3" w:rsidR="00C83446" w:rsidRPr="00C83446" w:rsidRDefault="00A63BDE" w:rsidP="00E31275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MT"/>
          <w:snapToGrid/>
          <w:sz w:val="22"/>
          <w:szCs w:val="22"/>
        </w:rPr>
        <w:t xml:space="preserve">The </w:t>
      </w:r>
      <w:r w:rsidR="00704C80">
        <w:rPr>
          <w:rFonts w:ascii="Garamond" w:hAnsi="Garamond" w:cs="TimesNewRomanPSMT"/>
          <w:snapToGrid/>
          <w:sz w:val="22"/>
          <w:szCs w:val="22"/>
        </w:rPr>
        <w:t>Sub-</w:t>
      </w:r>
      <w:r w:rsidRPr="00C83446">
        <w:rPr>
          <w:rFonts w:ascii="Garamond" w:hAnsi="Garamond" w:cs="TimesNewRomanPSMT"/>
          <w:snapToGrid/>
          <w:sz w:val="22"/>
          <w:szCs w:val="22"/>
        </w:rPr>
        <w:t>Consultant shall log, review, and evaluat</w:t>
      </w:r>
      <w:r w:rsidR="00704C80">
        <w:rPr>
          <w:rFonts w:ascii="Garamond" w:hAnsi="Garamond" w:cs="TimesNewRomanPSMT"/>
          <w:snapToGrid/>
          <w:sz w:val="22"/>
          <w:szCs w:val="22"/>
        </w:rPr>
        <w:t>e</w:t>
      </w:r>
      <w:r w:rsidRPr="00C83446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="00704C80">
        <w:rPr>
          <w:rFonts w:ascii="Garamond" w:hAnsi="Garamond" w:cs="TimesNewRomanPSMT"/>
          <w:snapToGrid/>
          <w:sz w:val="22"/>
          <w:szCs w:val="22"/>
        </w:rPr>
        <w:t>AIS c</w:t>
      </w:r>
      <w:r w:rsidRPr="00C83446">
        <w:rPr>
          <w:rFonts w:ascii="Garamond" w:hAnsi="Garamond" w:cs="TimesNewRomanPSMT"/>
          <w:snapToGrid/>
          <w:sz w:val="22"/>
          <w:szCs w:val="22"/>
        </w:rPr>
        <w:t xml:space="preserve">ertifications for applicable materials and equipment. </w:t>
      </w:r>
    </w:p>
    <w:p w14:paraId="0EFF05BE" w14:textId="3030AAE2" w:rsidR="00C83446" w:rsidRDefault="00107F19" w:rsidP="00E31275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>
        <w:rPr>
          <w:rFonts w:ascii="Garamond" w:hAnsi="Garamond" w:cs="TimesNewRomanPS-BoldMT"/>
          <w:snapToGrid/>
          <w:sz w:val="22"/>
          <w:szCs w:val="22"/>
        </w:rPr>
        <w:t xml:space="preserve">Review of </w:t>
      </w:r>
      <w:r w:rsidR="00A63BDE" w:rsidRPr="00A63BDE">
        <w:rPr>
          <w:rFonts w:ascii="Garamond" w:hAnsi="Garamond" w:cs="TimesNewRomanPS-BoldMT"/>
          <w:snapToGrid/>
          <w:sz w:val="22"/>
          <w:szCs w:val="22"/>
        </w:rPr>
        <w:t>Labor Interviews</w:t>
      </w:r>
    </w:p>
    <w:p w14:paraId="379E87B0" w14:textId="76523154" w:rsidR="00C83446" w:rsidRPr="00C83446" w:rsidRDefault="00C83446" w:rsidP="00E31275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>
        <w:rPr>
          <w:rFonts w:ascii="Garamond" w:hAnsi="Garamond" w:cs="TimesNewRomanPSMT"/>
          <w:snapToGrid/>
          <w:sz w:val="22"/>
          <w:szCs w:val="22"/>
        </w:rPr>
        <w:t>T</w:t>
      </w:r>
      <w:r w:rsidR="00A63BDE" w:rsidRPr="00C83446">
        <w:rPr>
          <w:rFonts w:ascii="Garamond" w:hAnsi="Garamond" w:cs="TimesNewRomanPSMT"/>
          <w:snapToGrid/>
          <w:sz w:val="22"/>
          <w:szCs w:val="22"/>
        </w:rPr>
        <w:t xml:space="preserve">he </w:t>
      </w:r>
      <w:r w:rsidR="00704C80">
        <w:rPr>
          <w:rFonts w:ascii="Garamond" w:hAnsi="Garamond" w:cs="TimesNewRomanPSMT"/>
          <w:snapToGrid/>
          <w:sz w:val="22"/>
          <w:szCs w:val="22"/>
        </w:rPr>
        <w:t>Sub-</w:t>
      </w:r>
      <w:r w:rsidR="00A63BDE" w:rsidRPr="00C83446">
        <w:rPr>
          <w:rFonts w:ascii="Garamond" w:hAnsi="Garamond" w:cs="TimesNewRomanPSMT"/>
          <w:snapToGrid/>
          <w:sz w:val="22"/>
          <w:szCs w:val="22"/>
        </w:rPr>
        <w:t>Consultant shall log, review, and evaluate the information collected</w:t>
      </w:r>
      <w:r>
        <w:rPr>
          <w:rFonts w:ascii="Garamond" w:hAnsi="Garamond" w:cs="TimesNewRomanPSMT"/>
          <w:snapToGrid/>
          <w:sz w:val="22"/>
          <w:szCs w:val="22"/>
        </w:rPr>
        <w:t xml:space="preserve"> </w:t>
      </w:r>
      <w:r w:rsidR="00A63BDE" w:rsidRPr="00C83446">
        <w:rPr>
          <w:rFonts w:ascii="Garamond" w:hAnsi="Garamond" w:cs="TimesNewRomanPSMT"/>
          <w:snapToGrid/>
          <w:sz w:val="22"/>
          <w:szCs w:val="22"/>
        </w:rPr>
        <w:t>during labor interviews to evaluate compliance with the applicable prevailing wage rates</w:t>
      </w:r>
      <w:r w:rsidR="00AB13C3">
        <w:rPr>
          <w:rFonts w:ascii="Garamond" w:hAnsi="Garamond" w:cs="TimesNewRomanPSMT"/>
          <w:snapToGrid/>
          <w:sz w:val="22"/>
          <w:szCs w:val="22"/>
        </w:rPr>
        <w:t>.</w:t>
      </w:r>
    </w:p>
    <w:p w14:paraId="6B5A068B" w14:textId="77777777" w:rsidR="00704C80" w:rsidRDefault="00A63BDE" w:rsidP="00E31275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-BoldMT"/>
          <w:snapToGrid/>
          <w:sz w:val="22"/>
          <w:szCs w:val="22"/>
        </w:rPr>
        <w:t>Pay Requests and Certified Payroll</w:t>
      </w:r>
    </w:p>
    <w:p w14:paraId="44E18C04" w14:textId="3D31DE78" w:rsidR="00704C80" w:rsidRPr="00704C80" w:rsidRDefault="00704C80" w:rsidP="00E31275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704C80">
        <w:rPr>
          <w:rFonts w:ascii="Garamond" w:hAnsi="Garamond" w:cs="TimesNewRomanPSMT"/>
          <w:snapToGrid/>
          <w:sz w:val="22"/>
          <w:szCs w:val="22"/>
        </w:rPr>
        <w:t xml:space="preserve">The Sub-Consultant </w:t>
      </w:r>
      <w:r w:rsidR="00AB13C3">
        <w:rPr>
          <w:rFonts w:ascii="Garamond" w:hAnsi="Garamond" w:cs="TimesNewRomanPSMT"/>
          <w:snapToGrid/>
          <w:sz w:val="22"/>
          <w:szCs w:val="22"/>
        </w:rPr>
        <w:t>shall</w:t>
      </w:r>
      <w:r w:rsidRPr="00704C80">
        <w:rPr>
          <w:rFonts w:ascii="Garamond" w:hAnsi="Garamond" w:cs="TimesNewRomanPSMT"/>
          <w:snapToGrid/>
          <w:sz w:val="22"/>
          <w:szCs w:val="22"/>
        </w:rPr>
        <w:t xml:space="preserve"> log, review, and evaluate the Contractor’s pay requests and certified payroll to assist with compliance to applicable prevailing wage rates and to assist the Consultant with the processing of each pay request</w:t>
      </w:r>
      <w:r w:rsidRPr="00704C80">
        <w:rPr>
          <w:rFonts w:ascii="Garamond" w:hAnsi="Garamond" w:cs="TimesNewRomanPS-BoldMT"/>
          <w:snapToGrid/>
          <w:sz w:val="22"/>
          <w:szCs w:val="22"/>
        </w:rPr>
        <w:t>.</w:t>
      </w:r>
    </w:p>
    <w:p w14:paraId="0D367985" w14:textId="07EEE56B" w:rsidR="00A956A7" w:rsidRPr="00E969F5" w:rsidRDefault="00A63BDE" w:rsidP="00E31275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-BoldMT"/>
          <w:snapToGrid/>
          <w:sz w:val="22"/>
          <w:szCs w:val="22"/>
        </w:rPr>
        <w:t>SRF Project Closeout</w:t>
      </w:r>
    </w:p>
    <w:p w14:paraId="76666CC6" w14:textId="5EE3D83F" w:rsidR="00D20FCF" w:rsidRPr="00A63BDE" w:rsidRDefault="0018654D" w:rsidP="00E31275">
      <w:pPr>
        <w:widowControl/>
        <w:tabs>
          <w:tab w:val="left" w:pos="6840"/>
        </w:tabs>
        <w:spacing w:before="100" w:beforeAutospacing="1" w:after="120" w:line="276" w:lineRule="auto"/>
        <w:ind w:right="342"/>
        <w:jc w:val="both"/>
        <w:rPr>
          <w:rFonts w:ascii="Garamond" w:hAnsi="Garamond"/>
          <w:sz w:val="22"/>
          <w:szCs w:val="22"/>
        </w:rPr>
      </w:pPr>
      <w:r w:rsidRPr="00A956A7">
        <w:rPr>
          <w:rFonts w:ascii="Garamond" w:hAnsi="Garamond"/>
          <w:sz w:val="22"/>
          <w:szCs w:val="22"/>
        </w:rPr>
        <w:t>SRF funding</w:t>
      </w:r>
      <w:r w:rsidR="00A956A7" w:rsidRPr="00A956A7">
        <w:rPr>
          <w:rFonts w:ascii="Garamond" w:hAnsi="Garamond"/>
          <w:sz w:val="22"/>
          <w:szCs w:val="22"/>
        </w:rPr>
        <w:t xml:space="preserve"> was acquired,</w:t>
      </w:r>
      <w:r w:rsidRPr="00A956A7">
        <w:rPr>
          <w:rFonts w:ascii="Garamond" w:hAnsi="Garamond"/>
          <w:sz w:val="22"/>
          <w:szCs w:val="22"/>
        </w:rPr>
        <w:t xml:space="preserve"> </w:t>
      </w:r>
      <w:r w:rsidR="00A956A7" w:rsidRPr="00A956A7">
        <w:rPr>
          <w:rFonts w:ascii="Garamond" w:hAnsi="Garamond"/>
          <w:sz w:val="22"/>
          <w:szCs w:val="22"/>
        </w:rPr>
        <w:t xml:space="preserve">and the project commenced </w:t>
      </w:r>
      <w:r w:rsidRPr="00A956A7">
        <w:rPr>
          <w:rFonts w:ascii="Garamond" w:hAnsi="Garamond"/>
          <w:sz w:val="22"/>
          <w:szCs w:val="22"/>
        </w:rPr>
        <w:t>in</w:t>
      </w:r>
      <w:r w:rsidR="00A956A7" w:rsidRPr="00A956A7">
        <w:rPr>
          <w:rFonts w:ascii="Garamond" w:hAnsi="Garamond"/>
          <w:sz w:val="22"/>
          <w:szCs w:val="22"/>
        </w:rPr>
        <w:t xml:space="preserve"> March 2022</w:t>
      </w:r>
      <w:r w:rsidRPr="00A956A7">
        <w:rPr>
          <w:rFonts w:ascii="Garamond" w:hAnsi="Garamond"/>
          <w:sz w:val="22"/>
          <w:szCs w:val="22"/>
        </w:rPr>
        <w:t xml:space="preserve">. </w:t>
      </w:r>
      <w:r w:rsidR="00A956A7" w:rsidRPr="00A956A7">
        <w:rPr>
          <w:rFonts w:ascii="Garamond" w:hAnsi="Garamond"/>
          <w:sz w:val="22"/>
          <w:szCs w:val="22"/>
        </w:rPr>
        <w:t xml:space="preserve">MBC got involved in January 2023 at the start of the construction phase. </w:t>
      </w:r>
      <w:r w:rsidR="00BF3C81" w:rsidRPr="00A956A7">
        <w:rPr>
          <w:rFonts w:ascii="Garamond" w:hAnsi="Garamond"/>
          <w:sz w:val="22"/>
          <w:szCs w:val="22"/>
        </w:rPr>
        <w:t xml:space="preserve">Final Completion is anticipated to occur in </w:t>
      </w:r>
      <w:r w:rsidR="00597AD4" w:rsidRPr="00A956A7">
        <w:rPr>
          <w:rFonts w:ascii="Garamond" w:hAnsi="Garamond"/>
          <w:sz w:val="22"/>
          <w:szCs w:val="22"/>
        </w:rPr>
        <w:t>February 202</w:t>
      </w:r>
      <w:r w:rsidR="00A956A7" w:rsidRPr="00A956A7">
        <w:rPr>
          <w:rFonts w:ascii="Garamond" w:hAnsi="Garamond"/>
          <w:sz w:val="22"/>
          <w:szCs w:val="22"/>
        </w:rPr>
        <w:t>5</w:t>
      </w:r>
      <w:r w:rsidR="00BF3C81" w:rsidRPr="00A956A7">
        <w:rPr>
          <w:rFonts w:ascii="Garamond" w:hAnsi="Garamond"/>
          <w:sz w:val="22"/>
          <w:szCs w:val="22"/>
        </w:rPr>
        <w:t>.</w:t>
      </w:r>
      <w:r w:rsidR="00BF3C81" w:rsidRPr="00A63BDE">
        <w:rPr>
          <w:rFonts w:ascii="Garamond" w:hAnsi="Garamond"/>
          <w:sz w:val="22"/>
          <w:szCs w:val="22"/>
        </w:rPr>
        <w:t xml:space="preserve"> </w:t>
      </w:r>
    </w:p>
    <w:sectPr w:rsidR="00D20FCF" w:rsidRPr="00A63BDE" w:rsidSect="003470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28" w:right="1080" w:bottom="1440" w:left="38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D07B" w14:textId="77777777" w:rsidR="0030682D" w:rsidRDefault="0030682D" w:rsidP="00B90243">
      <w:r>
        <w:separator/>
      </w:r>
    </w:p>
  </w:endnote>
  <w:endnote w:type="continuationSeparator" w:id="0">
    <w:p w14:paraId="590A0323" w14:textId="77777777" w:rsidR="0030682D" w:rsidRDefault="0030682D" w:rsidP="00B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3671283"/>
  <w:p w14:paraId="5FE54BB4" w14:textId="3CCDDDD4" w:rsidR="005373D5" w:rsidRPr="005373D5" w:rsidRDefault="005373D5" w:rsidP="005373D5">
    <w:pPr>
      <w:pStyle w:val="Footer"/>
      <w:ind w:left="-2610"/>
      <w:rPr>
        <w:rFonts w:ascii="Garamond" w:hAnsi="Garamond"/>
      </w:rPr>
    </w:pPr>
    <w:r w:rsidRPr="005373D5">
      <w:rPr>
        <w:rFonts w:ascii="Garamond" w:hAnsi="Garamond"/>
        <w:sz w:val="10"/>
      </w:rPr>
      <w:fldChar w:fldCharType="begin"/>
    </w:r>
    <w:r w:rsidRPr="005373D5">
      <w:rPr>
        <w:rFonts w:ascii="Garamond" w:hAnsi="Garamond"/>
        <w:sz w:val="10"/>
      </w:rPr>
      <w:instrText xml:space="preserve"> FILENAME </w:instrText>
    </w:r>
    <w:r w:rsidRPr="005373D5">
      <w:rPr>
        <w:rFonts w:ascii="Garamond" w:hAnsi="Garamond"/>
        <w:sz w:val="10"/>
      </w:rPr>
      <w:fldChar w:fldCharType="separate"/>
    </w:r>
    <w:r w:rsidR="002D1B27">
      <w:rPr>
        <w:rFonts w:ascii="Garamond" w:hAnsi="Garamond"/>
        <w:noProof/>
        <w:sz w:val="10"/>
      </w:rPr>
      <w:t>P-15 Water System Interconnect Upgrades Design SRF and SDCs 1 23  NEF.docx</w:t>
    </w:r>
    <w:r w:rsidRPr="005373D5">
      <w:rPr>
        <w:rFonts w:ascii="Garamond" w:hAnsi="Garamond"/>
        <w:sz w:val="10"/>
      </w:rPr>
      <w:fldChar w:fldCharType="end"/>
    </w:r>
    <w:r w:rsidRPr="005373D5">
      <w:rPr>
        <w:rFonts w:ascii="Garamond" w:hAnsi="Garamond"/>
        <w:sz w:val="10"/>
      </w:rPr>
      <w:t xml:space="preserve"> </w:t>
    </w:r>
    <w:bookmarkEnd w:id="0"/>
    <w:r w:rsidRPr="005373D5">
      <w:rPr>
        <w:rFonts w:ascii="Garamond" w:hAnsi="Garamond"/>
      </w:rPr>
      <w:ptab w:relativeTo="margin" w:alignment="center" w:leader="none"/>
    </w:r>
    <w:r w:rsidRPr="005373D5">
      <w:rPr>
        <w:rFonts w:ascii="Garamond" w:hAnsi="Garamond"/>
      </w:rPr>
      <w:ptab w:relativeTo="margin" w:alignment="right" w:leader="none"/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PAGE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2</w:t>
    </w:r>
    <w:r w:rsidRPr="005373D5">
      <w:rPr>
        <w:rFonts w:ascii="Garamond" w:hAnsi="Garamond"/>
      </w:rPr>
      <w:fldChar w:fldCharType="end"/>
    </w:r>
    <w:r w:rsidRPr="005373D5">
      <w:rPr>
        <w:rFonts w:ascii="Garamond" w:hAnsi="Garamond"/>
      </w:rPr>
      <w:t>/</w:t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NUMPAGES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2</w:t>
    </w:r>
    <w:r w:rsidRPr="005373D5">
      <w:rPr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5873" w14:textId="54945047" w:rsidR="005373D5" w:rsidRPr="005373D5" w:rsidRDefault="005373D5" w:rsidP="005373D5">
    <w:pPr>
      <w:pStyle w:val="Footer"/>
      <w:ind w:left="-2610"/>
      <w:rPr>
        <w:rFonts w:ascii="Garamond" w:hAnsi="Garamond"/>
      </w:rPr>
    </w:pPr>
    <w:r w:rsidRPr="005373D5">
      <w:rPr>
        <w:rFonts w:ascii="Garamond" w:hAnsi="Garamond"/>
      </w:rPr>
      <w:ptab w:relativeTo="margin" w:alignment="center" w:leader="none"/>
    </w:r>
    <w:r w:rsidRPr="005373D5">
      <w:rPr>
        <w:rFonts w:ascii="Garamond" w:hAnsi="Garamond"/>
      </w:rPr>
      <w:ptab w:relativeTo="margin" w:alignment="right" w:leader="none"/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PAGE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1</w:t>
    </w:r>
    <w:r w:rsidRPr="005373D5">
      <w:rPr>
        <w:rFonts w:ascii="Garamond" w:hAnsi="Garamond"/>
      </w:rPr>
      <w:fldChar w:fldCharType="end"/>
    </w:r>
    <w:r w:rsidRPr="005373D5">
      <w:rPr>
        <w:rFonts w:ascii="Garamond" w:hAnsi="Garamond"/>
      </w:rPr>
      <w:t>/</w:t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NUMPAGES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2</w:t>
    </w:r>
    <w:r w:rsidRPr="005373D5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0A1B" w14:textId="77777777" w:rsidR="0030682D" w:rsidRDefault="0030682D" w:rsidP="00B90243">
      <w:r>
        <w:separator/>
      </w:r>
    </w:p>
  </w:footnote>
  <w:footnote w:type="continuationSeparator" w:id="0">
    <w:p w14:paraId="022067F9" w14:textId="77777777" w:rsidR="0030682D" w:rsidRDefault="0030682D" w:rsidP="00B9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6E2B" w14:textId="77777777" w:rsidR="00AC4B50" w:rsidRDefault="00AC4B50" w:rsidP="000A0CEE">
    <w:pPr>
      <w:pStyle w:val="Headline"/>
      <w:framePr w:w="4608" w:h="890" w:hRule="exact" w:wrap="around" w:x="6720" w:y="361"/>
      <w:rPr>
        <w:rFonts w:cs="Arial"/>
        <w:b w:val="0"/>
        <w:sz w:val="26"/>
        <w:szCs w:val="26"/>
      </w:rPr>
    </w:pPr>
    <w:r w:rsidRPr="00AC4B50">
      <w:rPr>
        <w:rFonts w:cs="Arial"/>
        <w:b w:val="0"/>
        <w:sz w:val="26"/>
        <w:szCs w:val="26"/>
      </w:rPr>
      <w:t>Water System Interconnect Upgrades Design, SRF Funding, and Construction</w:t>
    </w:r>
  </w:p>
  <w:p w14:paraId="668E2879" w14:textId="093FA2DB" w:rsidR="000A0CEE" w:rsidRPr="000A0CEE" w:rsidRDefault="00BD119B" w:rsidP="000A0CEE">
    <w:pPr>
      <w:pStyle w:val="Headline"/>
      <w:framePr w:w="4608" w:h="890" w:hRule="exact" w:wrap="around" w:x="6720" w:y="361"/>
      <w:rPr>
        <w:rFonts w:cs="Arial"/>
        <w:sz w:val="20"/>
      </w:rPr>
    </w:pPr>
    <w:r>
      <w:rPr>
        <w:rFonts w:cs="Arial"/>
        <w:b w:val="0"/>
        <w:sz w:val="20"/>
      </w:rPr>
      <w:t>Pompano Beach</w:t>
    </w:r>
    <w:r w:rsidR="000A0CEE" w:rsidRPr="000A0CEE">
      <w:rPr>
        <w:rFonts w:cs="Arial"/>
        <w:b w:val="0"/>
        <w:sz w:val="20"/>
      </w:rPr>
      <w:t>, Florida</w:t>
    </w:r>
  </w:p>
  <w:p w14:paraId="76B39494" w14:textId="77777777" w:rsidR="00B90243" w:rsidRDefault="000A0CEE" w:rsidP="00B90243">
    <w:pPr>
      <w:pStyle w:val="Header"/>
      <w:ind w:left="-288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A3B32" wp14:editId="542DC4C1">
          <wp:simplePos x="0" y="0"/>
          <wp:positionH relativeFrom="column">
            <wp:posOffset>-1863858</wp:posOffset>
          </wp:positionH>
          <wp:positionV relativeFrom="paragraph">
            <wp:posOffset>-25234</wp:posOffset>
          </wp:positionV>
          <wp:extent cx="1837690" cy="316230"/>
          <wp:effectExtent l="0" t="0" r="0" b="7620"/>
          <wp:wrapNone/>
          <wp:docPr id="12" name="Picture 12" descr="Seco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co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42AE" w14:textId="2FF45C7C" w:rsidR="000A0CEE" w:rsidRDefault="001309B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1F2559" wp14:editId="1B003620">
          <wp:simplePos x="0" y="0"/>
          <wp:positionH relativeFrom="column">
            <wp:posOffset>-1602105</wp:posOffset>
          </wp:positionH>
          <wp:positionV relativeFrom="paragraph">
            <wp:posOffset>0</wp:posOffset>
          </wp:positionV>
          <wp:extent cx="2980944" cy="45714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944" cy="45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8F8"/>
    <w:multiLevelType w:val="hybridMultilevel"/>
    <w:tmpl w:val="C496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7FE"/>
    <w:multiLevelType w:val="hybridMultilevel"/>
    <w:tmpl w:val="C6B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623"/>
    <w:multiLevelType w:val="hybridMultilevel"/>
    <w:tmpl w:val="58E24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377E"/>
    <w:multiLevelType w:val="hybridMultilevel"/>
    <w:tmpl w:val="1B1C69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642B72"/>
    <w:multiLevelType w:val="hybridMultilevel"/>
    <w:tmpl w:val="BEA0A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4C3ACE"/>
    <w:multiLevelType w:val="hybridMultilevel"/>
    <w:tmpl w:val="FC284620"/>
    <w:lvl w:ilvl="0" w:tplc="8E76A900">
      <w:start w:val="1"/>
      <w:numFmt w:val="bullet"/>
      <w:pStyle w:val="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1545"/>
    <w:multiLevelType w:val="hybridMultilevel"/>
    <w:tmpl w:val="1BB68932"/>
    <w:lvl w:ilvl="0" w:tplc="D89C79F4">
      <w:start w:val="1"/>
      <w:numFmt w:val="upperLetter"/>
      <w:pStyle w:val="A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52F622E"/>
    <w:multiLevelType w:val="hybridMultilevel"/>
    <w:tmpl w:val="77B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570"/>
    <w:multiLevelType w:val="hybridMultilevel"/>
    <w:tmpl w:val="1DD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3267"/>
    <w:multiLevelType w:val="hybridMultilevel"/>
    <w:tmpl w:val="901C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11D1"/>
    <w:multiLevelType w:val="hybridMultilevel"/>
    <w:tmpl w:val="144AD588"/>
    <w:lvl w:ilvl="0" w:tplc="624C9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944A16"/>
    <w:multiLevelType w:val="hybridMultilevel"/>
    <w:tmpl w:val="6E6CA65C"/>
    <w:lvl w:ilvl="0" w:tplc="92A67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735B5E"/>
    <w:multiLevelType w:val="hybridMultilevel"/>
    <w:tmpl w:val="FDD21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259221617">
    <w:abstractNumId w:val="6"/>
  </w:num>
  <w:num w:numId="2" w16cid:durableId="1639190575">
    <w:abstractNumId w:val="11"/>
  </w:num>
  <w:num w:numId="3" w16cid:durableId="509487132">
    <w:abstractNumId w:val="10"/>
  </w:num>
  <w:num w:numId="4" w16cid:durableId="1098868567">
    <w:abstractNumId w:val="6"/>
  </w:num>
  <w:num w:numId="5" w16cid:durableId="232014488">
    <w:abstractNumId w:val="11"/>
  </w:num>
  <w:num w:numId="6" w16cid:durableId="1370837991">
    <w:abstractNumId w:val="10"/>
  </w:num>
  <w:num w:numId="7" w16cid:durableId="1489521666">
    <w:abstractNumId w:val="6"/>
  </w:num>
  <w:num w:numId="8" w16cid:durableId="735207455">
    <w:abstractNumId w:val="11"/>
  </w:num>
  <w:num w:numId="9" w16cid:durableId="754133880">
    <w:abstractNumId w:val="10"/>
  </w:num>
  <w:num w:numId="10" w16cid:durableId="295599130">
    <w:abstractNumId w:val="6"/>
  </w:num>
  <w:num w:numId="11" w16cid:durableId="354698419">
    <w:abstractNumId w:val="5"/>
  </w:num>
  <w:num w:numId="12" w16cid:durableId="1824588640">
    <w:abstractNumId w:val="4"/>
  </w:num>
  <w:num w:numId="13" w16cid:durableId="1396590382">
    <w:abstractNumId w:val="12"/>
  </w:num>
  <w:num w:numId="14" w16cid:durableId="212236964">
    <w:abstractNumId w:val="2"/>
  </w:num>
  <w:num w:numId="15" w16cid:durableId="314460023">
    <w:abstractNumId w:val="0"/>
  </w:num>
  <w:num w:numId="16" w16cid:durableId="518932994">
    <w:abstractNumId w:val="7"/>
  </w:num>
  <w:num w:numId="17" w16cid:durableId="836922263">
    <w:abstractNumId w:val="8"/>
  </w:num>
  <w:num w:numId="18" w16cid:durableId="2018118032">
    <w:abstractNumId w:val="3"/>
  </w:num>
  <w:num w:numId="19" w16cid:durableId="1973168850">
    <w:abstractNumId w:val="9"/>
  </w:num>
  <w:num w:numId="20" w16cid:durableId="109932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43"/>
    <w:rsid w:val="0002416A"/>
    <w:rsid w:val="0002484B"/>
    <w:rsid w:val="00061E1F"/>
    <w:rsid w:val="000632A1"/>
    <w:rsid w:val="00097388"/>
    <w:rsid w:val="000A0CEE"/>
    <w:rsid w:val="000A52AD"/>
    <w:rsid w:val="000F5F6E"/>
    <w:rsid w:val="000F69F2"/>
    <w:rsid w:val="00107F19"/>
    <w:rsid w:val="001215BB"/>
    <w:rsid w:val="001309B0"/>
    <w:rsid w:val="0015792A"/>
    <w:rsid w:val="00181630"/>
    <w:rsid w:val="0018654D"/>
    <w:rsid w:val="00187660"/>
    <w:rsid w:val="001A3E12"/>
    <w:rsid w:val="001B0C54"/>
    <w:rsid w:val="001E5754"/>
    <w:rsid w:val="001F5DC5"/>
    <w:rsid w:val="00201960"/>
    <w:rsid w:val="00203936"/>
    <w:rsid w:val="00206575"/>
    <w:rsid w:val="0026512C"/>
    <w:rsid w:val="00290FF4"/>
    <w:rsid w:val="002D1B27"/>
    <w:rsid w:val="002E49BA"/>
    <w:rsid w:val="002F55BA"/>
    <w:rsid w:val="0030682D"/>
    <w:rsid w:val="00332456"/>
    <w:rsid w:val="00345269"/>
    <w:rsid w:val="003470DA"/>
    <w:rsid w:val="00352964"/>
    <w:rsid w:val="00375980"/>
    <w:rsid w:val="00387107"/>
    <w:rsid w:val="003907F2"/>
    <w:rsid w:val="0039290B"/>
    <w:rsid w:val="003E02ED"/>
    <w:rsid w:val="00451C34"/>
    <w:rsid w:val="00481226"/>
    <w:rsid w:val="004862EC"/>
    <w:rsid w:val="004D7444"/>
    <w:rsid w:val="00505655"/>
    <w:rsid w:val="00512870"/>
    <w:rsid w:val="005373D5"/>
    <w:rsid w:val="00537649"/>
    <w:rsid w:val="0057393A"/>
    <w:rsid w:val="00594735"/>
    <w:rsid w:val="00597AD4"/>
    <w:rsid w:val="006178EC"/>
    <w:rsid w:val="006418BE"/>
    <w:rsid w:val="0065778A"/>
    <w:rsid w:val="006A6348"/>
    <w:rsid w:val="006B6BBF"/>
    <w:rsid w:val="006C1DB4"/>
    <w:rsid w:val="006D5D68"/>
    <w:rsid w:val="006E236A"/>
    <w:rsid w:val="006E4075"/>
    <w:rsid w:val="006F7B85"/>
    <w:rsid w:val="00704C80"/>
    <w:rsid w:val="007219AC"/>
    <w:rsid w:val="00733EF5"/>
    <w:rsid w:val="00743E9A"/>
    <w:rsid w:val="00757EBE"/>
    <w:rsid w:val="0078517E"/>
    <w:rsid w:val="007B36BB"/>
    <w:rsid w:val="007C0457"/>
    <w:rsid w:val="007E17EE"/>
    <w:rsid w:val="007E4AC4"/>
    <w:rsid w:val="007F1508"/>
    <w:rsid w:val="008049C0"/>
    <w:rsid w:val="00842ADF"/>
    <w:rsid w:val="00863B0D"/>
    <w:rsid w:val="00873C1A"/>
    <w:rsid w:val="00880032"/>
    <w:rsid w:val="00902CD2"/>
    <w:rsid w:val="0092014C"/>
    <w:rsid w:val="009565A8"/>
    <w:rsid w:val="00975BA8"/>
    <w:rsid w:val="00993028"/>
    <w:rsid w:val="009A3417"/>
    <w:rsid w:val="009B0274"/>
    <w:rsid w:val="009C010E"/>
    <w:rsid w:val="009D6DFD"/>
    <w:rsid w:val="009F12B8"/>
    <w:rsid w:val="009F1DED"/>
    <w:rsid w:val="00A04756"/>
    <w:rsid w:val="00A17550"/>
    <w:rsid w:val="00A51867"/>
    <w:rsid w:val="00A63BDE"/>
    <w:rsid w:val="00A658FD"/>
    <w:rsid w:val="00A73762"/>
    <w:rsid w:val="00A73EDA"/>
    <w:rsid w:val="00A76BA5"/>
    <w:rsid w:val="00A81D1E"/>
    <w:rsid w:val="00A956A7"/>
    <w:rsid w:val="00AB13C3"/>
    <w:rsid w:val="00AC3058"/>
    <w:rsid w:val="00AC4B50"/>
    <w:rsid w:val="00AD630A"/>
    <w:rsid w:val="00B03CBC"/>
    <w:rsid w:val="00B64118"/>
    <w:rsid w:val="00B6446D"/>
    <w:rsid w:val="00B8452E"/>
    <w:rsid w:val="00B90243"/>
    <w:rsid w:val="00BB0DEB"/>
    <w:rsid w:val="00BD0B36"/>
    <w:rsid w:val="00BD119B"/>
    <w:rsid w:val="00BE3501"/>
    <w:rsid w:val="00BF3C81"/>
    <w:rsid w:val="00C10193"/>
    <w:rsid w:val="00C4103C"/>
    <w:rsid w:val="00C463C4"/>
    <w:rsid w:val="00C83446"/>
    <w:rsid w:val="00C93FAA"/>
    <w:rsid w:val="00C94228"/>
    <w:rsid w:val="00CA7EB5"/>
    <w:rsid w:val="00CD6F6B"/>
    <w:rsid w:val="00CE5B5C"/>
    <w:rsid w:val="00D02402"/>
    <w:rsid w:val="00D16483"/>
    <w:rsid w:val="00D20FCF"/>
    <w:rsid w:val="00D33F90"/>
    <w:rsid w:val="00DA4E18"/>
    <w:rsid w:val="00DB7AF3"/>
    <w:rsid w:val="00DC23B9"/>
    <w:rsid w:val="00DD4E33"/>
    <w:rsid w:val="00E0250E"/>
    <w:rsid w:val="00E04BA6"/>
    <w:rsid w:val="00E17F06"/>
    <w:rsid w:val="00E31275"/>
    <w:rsid w:val="00E969F5"/>
    <w:rsid w:val="00EC075E"/>
    <w:rsid w:val="00F05BCE"/>
    <w:rsid w:val="00F14630"/>
    <w:rsid w:val="00F4747D"/>
    <w:rsid w:val="00F66C5F"/>
    <w:rsid w:val="00F80AB3"/>
    <w:rsid w:val="00FC6C5C"/>
    <w:rsid w:val="00FD4EDB"/>
    <w:rsid w:val="00FD7B4B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CE0FF"/>
  <w15:docId w15:val="{D5521DD4-95BE-41B6-9C3C-D67A836E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30"/>
    <w:pPr>
      <w:widowControl w:val="0"/>
    </w:pPr>
    <w:rPr>
      <w:rFonts w:ascii="CG Times" w:hAnsi="CG Times"/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 title"/>
    <w:basedOn w:val="Normal"/>
    <w:link w:val="SpectitleChar"/>
    <w:qFormat/>
    <w:rsid w:val="00181630"/>
    <w:pPr>
      <w:widowControl/>
      <w:tabs>
        <w:tab w:val="center" w:pos="468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SpectitleChar">
    <w:name w:val="Spec title Char"/>
    <w:link w:val="Spectitle"/>
    <w:rsid w:val="00181630"/>
    <w:rPr>
      <w:rFonts w:ascii="Arial" w:hAnsi="Arial" w:cs="Arial"/>
      <w:snapToGrid w:val="0"/>
      <w:sz w:val="22"/>
      <w:szCs w:val="22"/>
    </w:rPr>
  </w:style>
  <w:style w:type="paragraph" w:customStyle="1" w:styleId="101">
    <w:name w:val="1.01"/>
    <w:basedOn w:val="Normal"/>
    <w:link w:val="101Char"/>
    <w:qFormat/>
    <w:rsid w:val="00181630"/>
    <w:pPr>
      <w:widowControl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240" w:line="276" w:lineRule="auto"/>
      <w:ind w:left="864" w:hanging="864"/>
      <w:jc w:val="both"/>
    </w:pPr>
    <w:rPr>
      <w:rFonts w:ascii="Arial" w:hAnsi="Arial" w:cs="Arial"/>
      <w:sz w:val="22"/>
      <w:szCs w:val="22"/>
    </w:rPr>
  </w:style>
  <w:style w:type="character" w:customStyle="1" w:styleId="101Char">
    <w:name w:val="1.01 Char"/>
    <w:link w:val="101"/>
    <w:rsid w:val="00181630"/>
    <w:rPr>
      <w:rFonts w:ascii="Arial" w:hAnsi="Arial" w:cs="Arial"/>
      <w:snapToGrid w:val="0"/>
      <w:sz w:val="22"/>
      <w:szCs w:val="22"/>
    </w:rPr>
  </w:style>
  <w:style w:type="paragraph" w:customStyle="1" w:styleId="A">
    <w:name w:val="A."/>
    <w:basedOn w:val="Normal"/>
    <w:link w:val="AChar"/>
    <w:qFormat/>
    <w:rsid w:val="00181630"/>
    <w:pPr>
      <w:widowControl/>
      <w:numPr>
        <w:numId w:val="7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 w:line="276" w:lineRule="auto"/>
      <w:ind w:left="1296" w:hanging="389"/>
      <w:jc w:val="both"/>
    </w:pPr>
    <w:rPr>
      <w:rFonts w:ascii="Arial" w:hAnsi="Arial" w:cs="Arial"/>
      <w:sz w:val="22"/>
      <w:szCs w:val="22"/>
    </w:rPr>
  </w:style>
  <w:style w:type="character" w:customStyle="1" w:styleId="AChar">
    <w:name w:val="A. Char"/>
    <w:link w:val="A"/>
    <w:rsid w:val="00181630"/>
    <w:rPr>
      <w:rFonts w:ascii="Arial" w:hAnsi="Arial" w:cs="Arial"/>
      <w:snapToGrid w:val="0"/>
      <w:sz w:val="22"/>
      <w:szCs w:val="22"/>
    </w:rPr>
  </w:style>
  <w:style w:type="paragraph" w:customStyle="1" w:styleId="1">
    <w:name w:val="1."/>
    <w:basedOn w:val="Normal"/>
    <w:link w:val="1Char"/>
    <w:qFormat/>
    <w:rsid w:val="0018163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80" w:line="276" w:lineRule="auto"/>
      <w:ind w:left="1728" w:hanging="432"/>
      <w:jc w:val="both"/>
    </w:pPr>
    <w:rPr>
      <w:rFonts w:ascii="Arial" w:hAnsi="Arial" w:cs="Arial"/>
      <w:sz w:val="22"/>
      <w:szCs w:val="22"/>
    </w:rPr>
  </w:style>
  <w:style w:type="character" w:customStyle="1" w:styleId="1Char">
    <w:name w:val="1. Char"/>
    <w:link w:val="1"/>
    <w:rsid w:val="00181630"/>
    <w:rPr>
      <w:rFonts w:ascii="Arial" w:hAnsi="Arial" w:cs="Arial"/>
      <w:snapToGrid w:val="0"/>
      <w:sz w:val="22"/>
      <w:szCs w:val="22"/>
    </w:rPr>
  </w:style>
  <w:style w:type="paragraph" w:customStyle="1" w:styleId="a0">
    <w:name w:val="a."/>
    <w:basedOn w:val="Normal"/>
    <w:link w:val="aChar0"/>
    <w:qFormat/>
    <w:rsid w:val="0018163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76" w:lineRule="auto"/>
      <w:ind w:left="2160" w:hanging="432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Char0">
    <w:name w:val="a. Char"/>
    <w:link w:val="a0"/>
    <w:rsid w:val="00181630"/>
    <w:rPr>
      <w:rFonts w:ascii="Arial" w:hAnsi="Arial" w:cs="Arial"/>
      <w:snapToGrid w:val="0"/>
      <w:sz w:val="22"/>
      <w:szCs w:val="22"/>
    </w:rPr>
  </w:style>
  <w:style w:type="paragraph" w:customStyle="1" w:styleId="Part">
    <w:name w:val="Part"/>
    <w:basedOn w:val="Normal"/>
    <w:link w:val="PartChar"/>
    <w:qFormat/>
    <w:rsid w:val="00181630"/>
    <w:pPr>
      <w:widowControl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60"/>
      <w:jc w:val="both"/>
    </w:pPr>
    <w:rPr>
      <w:rFonts w:ascii="Arial" w:hAnsi="Arial" w:cs="Arial"/>
      <w:i/>
      <w:sz w:val="22"/>
      <w:szCs w:val="22"/>
    </w:rPr>
  </w:style>
  <w:style w:type="character" w:customStyle="1" w:styleId="PartChar">
    <w:name w:val="Part Char"/>
    <w:link w:val="Part"/>
    <w:rsid w:val="00181630"/>
    <w:rPr>
      <w:rFonts w:ascii="Arial" w:hAnsi="Arial" w:cs="Arial"/>
      <w:i/>
      <w:snapToGrid w:val="0"/>
      <w:sz w:val="22"/>
      <w:szCs w:val="22"/>
    </w:rPr>
  </w:style>
  <w:style w:type="paragraph" w:customStyle="1" w:styleId="SpecFooter">
    <w:name w:val="Spec Footer"/>
    <w:basedOn w:val="Footer"/>
    <w:link w:val="SpecFooterChar"/>
    <w:qFormat/>
    <w:rsid w:val="00181630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 w:cs="Arial"/>
      <w:i/>
      <w:iCs/>
      <w:szCs w:val="24"/>
    </w:rPr>
  </w:style>
  <w:style w:type="character" w:customStyle="1" w:styleId="SpecFooterChar">
    <w:name w:val="Spec Footer Char"/>
    <w:link w:val="SpecFooter"/>
    <w:rsid w:val="00181630"/>
    <w:rPr>
      <w:rFonts w:ascii="Arial" w:hAnsi="Arial" w:cs="Arial"/>
      <w:i/>
      <w:iCs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B4"/>
  </w:style>
  <w:style w:type="paragraph" w:styleId="Header">
    <w:name w:val="header"/>
    <w:basedOn w:val="Normal"/>
    <w:link w:val="HeaderChar"/>
    <w:uiPriority w:val="99"/>
    <w:unhideWhenUsed/>
    <w:rsid w:val="00B9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43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43"/>
    <w:rPr>
      <w:rFonts w:ascii="Tahoma" w:hAnsi="Tahoma" w:cs="Tahoma"/>
      <w:snapToGrid w:val="0"/>
      <w:sz w:val="16"/>
      <w:szCs w:val="16"/>
    </w:rPr>
  </w:style>
  <w:style w:type="paragraph" w:customStyle="1" w:styleId="ListHeadingTeal">
    <w:name w:val="List Heading Teal"/>
    <w:basedOn w:val="Normal"/>
    <w:rsid w:val="00B90243"/>
    <w:pPr>
      <w:framePr w:w="2160" w:h="9605" w:wrap="around" w:vAnchor="page" w:hAnchor="page" w:x="1297" w:y="2881" w:anchorLock="1"/>
      <w:widowControl/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 Black" w:hAnsi="Arial Black"/>
      <w:snapToGrid/>
      <w:color w:val="007EA2"/>
      <w:spacing w:val="-2"/>
      <w:sz w:val="14"/>
    </w:rPr>
  </w:style>
  <w:style w:type="paragraph" w:customStyle="1" w:styleId="ListItemTeal">
    <w:name w:val="List Item Teal"/>
    <w:basedOn w:val="List"/>
    <w:rsid w:val="00B90243"/>
    <w:pPr>
      <w:framePr w:w="2160" w:h="9605" w:wrap="around" w:vAnchor="page" w:hAnchor="page" w:x="1297" w:y="2881" w:anchorLock="1"/>
      <w:overflowPunct w:val="0"/>
      <w:autoSpaceDE w:val="0"/>
      <w:autoSpaceDN w:val="0"/>
      <w:adjustRightInd w:val="0"/>
      <w:spacing w:after="0" w:line="220" w:lineRule="exact"/>
      <w:ind w:left="142" w:hanging="142"/>
      <w:contextualSpacing w:val="0"/>
      <w:textAlignment w:val="baseline"/>
    </w:pPr>
    <w:rPr>
      <w:color w:val="007EA2"/>
      <w:spacing w:val="-4"/>
      <w:sz w:val="16"/>
    </w:rPr>
  </w:style>
  <w:style w:type="paragraph" w:styleId="List">
    <w:name w:val="List"/>
    <w:basedOn w:val="Normal"/>
    <w:uiPriority w:val="99"/>
    <w:semiHidden/>
    <w:unhideWhenUsed/>
    <w:rsid w:val="00B90243"/>
    <w:pPr>
      <w:widowControl/>
      <w:spacing w:after="200" w:line="276" w:lineRule="auto"/>
      <w:ind w:left="360" w:hanging="360"/>
      <w:contextualSpacing/>
    </w:pPr>
    <w:rPr>
      <w:rFonts w:ascii="Arial" w:hAnsi="Arial"/>
      <w:snapToGrid/>
      <w:sz w:val="20"/>
    </w:rPr>
  </w:style>
  <w:style w:type="paragraph" w:customStyle="1" w:styleId="HeadingStyle2Teal">
    <w:name w:val="Heading Style 2 Teal"/>
    <w:basedOn w:val="Heading2"/>
    <w:rsid w:val="00B90243"/>
    <w:pPr>
      <w:widowControl/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Arial" w:eastAsia="Times New Roman" w:hAnsi="Arial" w:cs="Arial"/>
      <w:bCs w:val="0"/>
      <w:iCs/>
      <w:snapToGrid/>
      <w:color w:val="007EA2"/>
      <w:kern w:val="28"/>
      <w:sz w:val="18"/>
      <w:szCs w:val="28"/>
    </w:rPr>
  </w:style>
  <w:style w:type="paragraph" w:customStyle="1" w:styleId="Bullet2">
    <w:name w:val="Bullet2"/>
    <w:basedOn w:val="Normal"/>
    <w:rsid w:val="00B90243"/>
    <w:pPr>
      <w:widowControl/>
      <w:numPr>
        <w:numId w:val="11"/>
      </w:numPr>
      <w:spacing w:before="60" w:after="60"/>
    </w:pPr>
    <w:rPr>
      <w:rFonts w:ascii="Times New Roman" w:hAnsi="Times New Roman"/>
      <w:snapToGrid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B9024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customStyle="1" w:styleId="Headline">
    <w:name w:val="Headline"/>
    <w:rsid w:val="000A0CEE"/>
    <w:pPr>
      <w:framePr w:w="2098" w:h="851" w:hRule="exact" w:hSpace="181" w:vSpace="181" w:wrap="around" w:vAnchor="page" w:hAnchor="page" w:x="9583" w:y="908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Arial" w:hAnsi="Arial"/>
      <w:b/>
      <w:noProof/>
      <w:sz w:val="22"/>
    </w:rPr>
  </w:style>
  <w:style w:type="paragraph" w:styleId="BodyTextIndent">
    <w:name w:val="Body Text Indent"/>
    <w:basedOn w:val="Normal"/>
    <w:link w:val="BodyTextIndentChar"/>
    <w:rsid w:val="00A658FD"/>
    <w:pPr>
      <w:widowControl/>
      <w:overflowPunct w:val="0"/>
      <w:autoSpaceDE w:val="0"/>
      <w:autoSpaceDN w:val="0"/>
      <w:adjustRightInd w:val="0"/>
      <w:spacing w:after="120" w:line="280" w:lineRule="exact"/>
      <w:ind w:left="360"/>
      <w:textAlignment w:val="baseline"/>
    </w:pPr>
    <w:rPr>
      <w:rFonts w:ascii="Arial" w:hAnsi="Arial"/>
      <w:snapToGrid/>
      <w:spacing w:val="-2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658FD"/>
    <w:rPr>
      <w:rFonts w:ascii="Arial" w:hAnsi="Arial"/>
      <w:spacing w:val="-2"/>
      <w:sz w:val="18"/>
    </w:rPr>
  </w:style>
  <w:style w:type="paragraph" w:styleId="ListParagraph">
    <w:name w:val="List Paragraph"/>
    <w:basedOn w:val="Normal"/>
    <w:uiPriority w:val="34"/>
    <w:rsid w:val="00975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7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762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762"/>
    <w:rPr>
      <w:rFonts w:ascii="CG Times" w:hAnsi="CG Times"/>
      <w:b/>
      <w:bCs/>
      <w:snapToGrid w:val="0"/>
    </w:rPr>
  </w:style>
  <w:style w:type="paragraph" w:styleId="Revision">
    <w:name w:val="Revision"/>
    <w:hidden/>
    <w:uiPriority w:val="99"/>
    <w:semiHidden/>
    <w:rsid w:val="00A73762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AMcCafferty</dc:creator>
  <cp:lastModifiedBy>RLandrum</cp:lastModifiedBy>
  <cp:revision>9</cp:revision>
  <cp:lastPrinted>2023-04-12T20:10:00Z</cp:lastPrinted>
  <dcterms:created xsi:type="dcterms:W3CDTF">2023-05-15T18:08:00Z</dcterms:created>
  <dcterms:modified xsi:type="dcterms:W3CDTF">2023-05-25T17:09:00Z</dcterms:modified>
</cp:coreProperties>
</file>